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9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11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.12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</w:r>
      <w:r>
        <w:rPr>
          <w:rFonts w:eastAsia="MS Mincho" w:ascii="PT Astra Serif" w:hAnsi="PT Astra Serif"/>
          <w:b/>
          <w:bCs/>
          <w:sz w:val="28"/>
          <w:szCs w:val="28"/>
          <w:lang w:eastAsia="zh-CN"/>
        </w:rPr>
        <w:t>«</w:t>
      </w:r>
      <w:r>
        <w:rPr>
          <w:rFonts w:eastAsia="MS Mincho" w:ascii="PT Astra Serif" w:hAnsi="PT Astra Serif"/>
          <w:b/>
          <w:bCs/>
          <w:sz w:val="28"/>
          <w:szCs w:val="28"/>
          <w:lang w:eastAsia="en-US"/>
        </w:rPr>
        <w:t>О признании утратившими силу отдельных нормативных правовых актов Правительства Ульяновской области</w:t>
      </w:r>
      <w:bookmarkStart w:id="0" w:name="__DdeLink__428060_2144257882"/>
      <w:r>
        <w:rPr>
          <w:rFonts w:eastAsia="MS Mincho" w:ascii="PT Astra Serif" w:hAnsi="PT Astra Serif"/>
          <w:b/>
          <w:bCs/>
          <w:sz w:val="28"/>
          <w:szCs w:val="28"/>
          <w:lang w:eastAsia="en-US"/>
        </w:rPr>
        <w:t>»</w:t>
      </w:r>
      <w:bookmarkEnd w:id="0"/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br/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1" w:name="__DdeLink__208_3880014481"/>
      <w:bookmarkStart w:id="2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1"/>
      <w:bookmarkEnd w:id="2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декаб</w:t>
      </w:r>
      <w:r>
        <w:rPr>
          <w:rFonts w:ascii="PT Astra Serif" w:hAnsi="PT Astra Serif"/>
          <w:sz w:val="28"/>
          <w:szCs w:val="28"/>
          <w:lang w:val="ru-RU"/>
        </w:rPr>
        <w:t xml:space="preserve">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MS Mincho" w:ascii="PT Astra Serif" w:hAnsi="PT Astra Serif"/>
          <w:b w:val="false"/>
          <w:bCs w:val="false"/>
          <w:sz w:val="28"/>
          <w:szCs w:val="28"/>
          <w:lang w:eastAsia="en-US"/>
        </w:rPr>
        <w:t>О признании утратившими силу отдельных нормативных правовых актов Правительства Ульяновской области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отдела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uppressAutoHyphens w:val="true"/>
        <w:overflowPunct w:val="fals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MS Mincho;ＭＳ 明朝" w:ascii="PT Astra Serif" w:hAnsi="PT Astra Serif"/>
          <w:b w:val="false"/>
          <w:bCs w:val="false"/>
          <w:sz w:val="28"/>
          <w:szCs w:val="28"/>
          <w:lang w:eastAsia="zh-CN"/>
        </w:rPr>
        <w:t>Проект</w:t>
      </w:r>
      <w:r>
        <w:rPr>
          <w:rFonts w:eastAsia="MS Mincho;ＭＳ 明朝" w:ascii="PT Astra Serif" w:hAnsi="PT Astra Serif"/>
          <w:b w:val="false"/>
          <w:bCs w:val="false"/>
          <w:sz w:val="28"/>
          <w:szCs w:val="28"/>
          <w:lang w:eastAsia="zh-CN"/>
        </w:rPr>
        <w:t xml:space="preserve">ом </w:t>
      </w:r>
      <w:r>
        <w:rPr>
          <w:rFonts w:eastAsia="MS Mincho;ＭＳ 明朝" w:ascii="PT Astra Serif" w:hAnsi="PT Astra Serif"/>
          <w:b w:val="false"/>
          <w:bCs/>
          <w:color w:val="000000"/>
          <w:sz w:val="28"/>
          <w:szCs w:val="28"/>
          <w:lang w:eastAsia="zh-CN"/>
        </w:rPr>
        <w:t>предлагается признать утратившими силу постановление Правительства Ульяновской области от 14.11.2019 № 26/578-П</w:t>
        <w:br/>
        <w:t xml:space="preserve"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а также вносимые в него изменения, </w:t>
      </w:r>
      <w:r>
        <w:rPr>
          <w:rFonts w:eastAsia="MS Mincho;ＭＳ 明朝" w:ascii="PT Astra Serif" w:hAnsi="PT Astra Serif"/>
          <w:b w:val="false"/>
          <w:bCs/>
          <w:color w:val="000000"/>
          <w:sz w:val="28"/>
          <w:szCs w:val="28"/>
          <w:lang w:eastAsia="zh-CN"/>
        </w:rPr>
        <w:t xml:space="preserve">в связи с вступлением в силу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новой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</w:t>
        <w:br/>
        <w:t>в Ульяновской области», утверждённая постановлением Правительства Ульяновской области от 30.11.2023 № 32/644-П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</w:t>
        <w:br/>
        <w:t>в Ульяновской области».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 </w:t>
      </w: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Application>LibreOffice/6.4.7.2$Linux_X86_64 LibreOffice_project/40$Build-2</Application>
  <Pages>1</Pages>
  <Words>251</Words>
  <Characters>2110</Characters>
  <CharactersWithSpaces>2393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2023-12-11T16:01:54Z</cp:lastPrinted>
  <dcterms:modified xsi:type="dcterms:W3CDTF">2023-12-11T16:03:16Z</dcterms:modified>
  <cp:revision>92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